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64D2A" w14:textId="75FBFEA7" w:rsidR="006C23C6" w:rsidRPr="006C23C6" w:rsidRDefault="006C23C6" w:rsidP="006C23C6">
      <w:pPr>
        <w:spacing w:after="240"/>
        <w:ind w:right="-57" w:firstLine="284"/>
        <w:jc w:val="center"/>
        <w:rPr>
          <w:rFonts w:eastAsia="Times New Roman"/>
          <w:bCs/>
          <w:i/>
          <w:iCs/>
          <w:lang w:eastAsia="it-IT"/>
        </w:rPr>
      </w:pPr>
      <w:bookmarkStart w:id="0" w:name="_Toc388206399"/>
      <w:r w:rsidRPr="006C23C6">
        <w:rPr>
          <w:rFonts w:eastAsia="Times New Roman"/>
          <w:bCs/>
          <w:i/>
          <w:iCs/>
          <w:lang w:val="x-none" w:eastAsia="it-IT"/>
        </w:rPr>
        <w:t>C</w:t>
      </w:r>
      <w:bookmarkEnd w:id="0"/>
      <w:r>
        <w:rPr>
          <w:rFonts w:eastAsia="Times New Roman"/>
          <w:bCs/>
          <w:i/>
          <w:iCs/>
          <w:lang w:eastAsia="it-IT"/>
        </w:rPr>
        <w:t>o</w:t>
      </w:r>
      <w:r w:rsidR="00C15D2E">
        <w:rPr>
          <w:rFonts w:eastAsia="Times New Roman"/>
          <w:bCs/>
          <w:i/>
          <w:iCs/>
          <w:lang w:eastAsia="it-IT"/>
        </w:rPr>
        <w:t>mmercio degli organi</w:t>
      </w:r>
    </w:p>
    <w:p w14:paraId="070B2AE6" w14:textId="708B14D8" w:rsidR="00C15D2E" w:rsidRDefault="00664C90" w:rsidP="00C15D2E">
      <w:pPr>
        <w:ind w:right="-58" w:firstLine="284"/>
        <w:rPr>
          <w:rFonts w:eastAsia="Times New Roman"/>
          <w:lang w:eastAsia="it-IT"/>
        </w:rPr>
      </w:pPr>
      <w:bookmarkStart w:id="1" w:name="_Hlk175076478"/>
      <w:r>
        <w:rPr>
          <w:rFonts w:eastAsia="Times New Roman"/>
          <w:lang w:val="x-none" w:eastAsia="it-IT"/>
        </w:rPr>
        <w:t>Alla base della liceità della vendita degli organi vi sono</w:t>
      </w:r>
      <w:r>
        <w:rPr>
          <w:rFonts w:eastAsia="Times New Roman"/>
          <w:lang w:val="x-none" w:eastAsia="it-IT"/>
        </w:rPr>
        <w:t>,</w:t>
      </w:r>
      <w:r>
        <w:rPr>
          <w:rFonts w:eastAsia="Times New Roman"/>
          <w:lang w:val="x-none" w:eastAsia="it-IT"/>
        </w:rPr>
        <w:t xml:space="preserve"> </w:t>
      </w:r>
      <w:r>
        <w:rPr>
          <w:rFonts w:eastAsia="Times New Roman"/>
          <w:lang w:val="x-none" w:eastAsia="it-IT"/>
        </w:rPr>
        <w:t>o</w:t>
      </w:r>
      <w:r w:rsidR="00AA0C52">
        <w:rPr>
          <w:rFonts w:eastAsia="Times New Roman"/>
          <w:lang w:val="x-none" w:eastAsia="it-IT"/>
        </w:rPr>
        <w:t xml:space="preserve">ltre che l’autoproprietà e quindi la libera disponibilità del proprio corpo, anche argomenti di taglio consequenzialista. </w:t>
      </w:r>
    </w:p>
    <w:bookmarkEnd w:id="1"/>
    <w:p w14:paraId="45237037" w14:textId="75B82321" w:rsidR="00C15D2E" w:rsidRDefault="00C15D2E" w:rsidP="00C15D2E">
      <w:pPr>
        <w:ind w:right="-58" w:firstLine="284"/>
        <w:rPr>
          <w:rFonts w:eastAsia="Times New Roman"/>
          <w:lang w:val="x-none" w:eastAsia="it-IT"/>
        </w:rPr>
      </w:pPr>
      <w:r w:rsidRPr="00C15D2E">
        <w:rPr>
          <w:rFonts w:eastAsia="Times New Roman"/>
          <w:lang w:val="x-none" w:eastAsia="it-IT"/>
        </w:rPr>
        <w:t xml:space="preserve">Il divieto di scambiare un certo bene per un corrispettivo in denaro produce effetti negativi in termini di efficienza, riducendo la disponibilità del bene per chi ne ha necessità. Ad esempio, se la donazione di sangue fosse remunerata, gli ospedali non avrebbero più i problemi di disponibilità che le cronache ogni tanto evidenziano. </w:t>
      </w:r>
      <w:r w:rsidRPr="00C15D2E">
        <w:rPr>
          <w:rFonts w:eastAsia="Times New Roman"/>
          <w:lang w:eastAsia="it-IT"/>
        </w:rPr>
        <w:t xml:space="preserve">Allo stesso modo, molte delle migliaia di persone che attendono inutilmente di ricevere un trapianto di reni non morirebbero. </w:t>
      </w:r>
      <w:r w:rsidRPr="00C15D2E">
        <w:rPr>
          <w:rFonts w:eastAsia="Times New Roman"/>
          <w:lang w:val="x-none" w:eastAsia="it-IT"/>
        </w:rPr>
        <w:t>Lo stesso discorso è applicabile alla compravendita delle cellule del midollo osseo: «sottraendo le cellule del midollo osseo a questo processo, affermiamo un principio: il corpo umano è un bene indisponibile. E tuttavia, siccome il mondo è fatto d’altro che di dichiarazioni di principio, determiniamo senza volerlo una serie di conseguenze (il fatto che alcune persone siano destinate a morire, non trovando un donatore) che nessuno, neppure chi più ardentemente crede in quel principio,</w:t>
      </w:r>
      <w:r>
        <w:rPr>
          <w:rFonts w:eastAsia="Times New Roman"/>
          <w:lang w:val="x-none" w:eastAsia="it-IT"/>
        </w:rPr>
        <w:t xml:space="preserve"> </w:t>
      </w:r>
      <w:r w:rsidRPr="00C15D2E">
        <w:rPr>
          <w:rFonts w:eastAsia="Times New Roman"/>
          <w:lang w:val="x-none" w:eastAsia="it-IT"/>
        </w:rPr>
        <w:t>vorrebbe»</w:t>
      </w:r>
      <w:r>
        <w:rPr>
          <w:rStyle w:val="Rimandonotaapidipagina"/>
          <w:rFonts w:eastAsia="Times New Roman"/>
          <w:lang w:val="x-none" w:eastAsia="it-IT"/>
        </w:rPr>
        <w:footnoteReference w:id="1"/>
      </w:r>
      <w:r w:rsidRPr="00C15D2E">
        <w:rPr>
          <w:rFonts w:eastAsia="Times New Roman"/>
          <w:lang w:eastAsia="it-IT"/>
        </w:rPr>
        <w:t>.</w:t>
      </w:r>
      <w:r w:rsidRPr="00C15D2E">
        <w:rPr>
          <w:rFonts w:eastAsia="Times New Roman"/>
          <w:lang w:val="x-none" w:eastAsia="it-IT"/>
        </w:rPr>
        <w:t xml:space="preserve"> </w:t>
      </w:r>
    </w:p>
    <w:p w14:paraId="4B57577A" w14:textId="135724A2" w:rsidR="00C15D2E" w:rsidRDefault="00C15D2E" w:rsidP="00C15D2E">
      <w:pPr>
        <w:ind w:right="-58" w:firstLine="284"/>
        <w:rPr>
          <w:rFonts w:eastAsia="Times New Roman"/>
          <w:lang w:val="x-none" w:eastAsia="it-IT"/>
        </w:rPr>
      </w:pPr>
      <w:r>
        <w:rPr>
          <w:rFonts w:eastAsia="Times New Roman"/>
          <w:lang w:val="x-none" w:eastAsia="it-IT"/>
        </w:rPr>
        <w:t xml:space="preserve">In Israele fu sufficiente l’introduzione </w:t>
      </w:r>
      <w:r>
        <w:rPr>
          <w:rFonts w:eastAsia="Times New Roman"/>
          <w:lang w:val="x-none" w:eastAsia="it-IT"/>
        </w:rPr>
        <w:t xml:space="preserve">per i donatori </w:t>
      </w:r>
      <w:r>
        <w:rPr>
          <w:rFonts w:eastAsia="Times New Roman"/>
          <w:lang w:val="x-none" w:eastAsia="it-IT"/>
        </w:rPr>
        <w:t>di un risarcimento comprende</w:t>
      </w:r>
      <w:r w:rsidR="00AA0C52">
        <w:rPr>
          <w:rFonts w:eastAsia="Times New Roman"/>
          <w:lang w:val="x-none" w:eastAsia="it-IT"/>
        </w:rPr>
        <w:t>nte</w:t>
      </w:r>
      <w:r>
        <w:rPr>
          <w:rFonts w:eastAsia="Times New Roman"/>
          <w:lang w:val="x-none" w:eastAsia="it-IT"/>
        </w:rPr>
        <w:t xml:space="preserve"> le cure mediche e i giorni di lavoro persi per far impennare nel primo anno le donazioni del 64%.</w:t>
      </w:r>
    </w:p>
    <w:p w14:paraId="3C7C4D1B" w14:textId="77777777" w:rsidR="00B931A8" w:rsidRDefault="00AA0C52" w:rsidP="00C15D2E">
      <w:pPr>
        <w:ind w:right="-58" w:firstLine="284"/>
        <w:rPr>
          <w:rFonts w:eastAsia="Times New Roman"/>
          <w:lang w:eastAsia="it-IT"/>
        </w:rPr>
      </w:pPr>
      <w:r w:rsidRPr="00C15D2E">
        <w:rPr>
          <w:rFonts w:eastAsia="Times New Roman"/>
          <w:lang w:val="x-none" w:eastAsia="it-IT"/>
        </w:rPr>
        <w:t>«</w:t>
      </w:r>
      <w:r w:rsidRPr="00C15D2E">
        <w:rPr>
          <w:rFonts w:eastAsia="Times New Roman"/>
          <w:lang w:eastAsia="it-IT"/>
        </w:rPr>
        <w:t>La principale obiezione alla vendita degli organi è che individui poco lungimiranti o disperati sarebbero indotti da consistenti somme di denaro a vendere organi contro i propri interessi. Questa preoccupazione è comprensibile ma esagerata. Medici e ospedali, insieme ai parenti e agli amici, preverrebbero la maggior parte di tali abusi. Norme sul consenso informato sensibilizzerebbero i potenziali venditori di organi sui rischi che potrebbero correre</w:t>
      </w:r>
      <w:r w:rsidRPr="00C15D2E">
        <w:rPr>
          <w:rFonts w:eastAsia="Times New Roman"/>
          <w:lang w:val="x-none" w:eastAsia="it-IT"/>
        </w:rPr>
        <w:t>»</w:t>
      </w:r>
      <w:r>
        <w:rPr>
          <w:rStyle w:val="Rimandonotaapidipagina"/>
          <w:rFonts w:eastAsia="Times New Roman"/>
          <w:lang w:val="x-none" w:eastAsia="it-IT"/>
        </w:rPr>
        <w:footnoteReference w:id="2"/>
      </w:r>
      <w:r w:rsidRPr="00C15D2E">
        <w:rPr>
          <w:rFonts w:eastAsia="Times New Roman"/>
          <w:lang w:eastAsia="it-IT"/>
        </w:rPr>
        <w:t xml:space="preserve">. </w:t>
      </w:r>
    </w:p>
    <w:p w14:paraId="252E4B40" w14:textId="1449104D" w:rsidR="00D872E4" w:rsidRDefault="00D872E4" w:rsidP="00C15D2E">
      <w:pPr>
        <w:ind w:right="-58" w:firstLine="284"/>
        <w:rPr>
          <w:rFonts w:eastAsia="Times New Roman"/>
          <w:lang w:eastAsia="it-IT"/>
        </w:rPr>
      </w:pPr>
      <w:r>
        <w:rPr>
          <w:rFonts w:eastAsia="Times New Roman"/>
          <w:lang w:eastAsia="it-IT"/>
        </w:rPr>
        <w:t>Certo, «i poveri vender</w:t>
      </w:r>
      <w:r w:rsidR="00664C90">
        <w:rPr>
          <w:rFonts w:eastAsia="Times New Roman"/>
          <w:lang w:eastAsia="it-IT"/>
        </w:rPr>
        <w:t>ann</w:t>
      </w:r>
      <w:r>
        <w:rPr>
          <w:rFonts w:eastAsia="Times New Roman"/>
          <w:lang w:eastAsia="it-IT"/>
        </w:rPr>
        <w:t xml:space="preserve">o più organi dei ricchi. </w:t>
      </w:r>
      <w:r w:rsidRPr="00D872E4">
        <w:rPr>
          <w:rFonts w:eastAsia="Times New Roman"/>
          <w:lang w:eastAsia="it-IT"/>
        </w:rPr>
        <w:t>Una risposta libertaria a questa obiezione è: “</w:t>
      </w:r>
      <w:bookmarkStart w:id="2" w:name="_Hlk175077130"/>
      <w:r w:rsidRPr="00D872E4">
        <w:rPr>
          <w:rFonts w:eastAsia="Times New Roman"/>
          <w:lang w:eastAsia="it-IT"/>
        </w:rPr>
        <w:t xml:space="preserve">La vendita di organi salva vite </w:t>
      </w:r>
      <w:r w:rsidRPr="00664C90">
        <w:rPr>
          <w:rFonts w:eastAsia="Times New Roman"/>
          <w:i/>
          <w:iCs/>
          <w:lang w:eastAsia="it-IT"/>
        </w:rPr>
        <w:t>e</w:t>
      </w:r>
      <w:r w:rsidRPr="00D872E4">
        <w:rPr>
          <w:rFonts w:eastAsia="Times New Roman"/>
          <w:lang w:eastAsia="it-IT"/>
        </w:rPr>
        <w:t xml:space="preserve"> rende i poveri più ricchi? Evviva!</w:t>
      </w:r>
      <w:bookmarkEnd w:id="2"/>
      <w:r w:rsidRPr="00D872E4">
        <w:rPr>
          <w:rFonts w:eastAsia="Times New Roman"/>
          <w:lang w:eastAsia="it-IT"/>
        </w:rPr>
        <w:t>”. I libertari sostengono che se ci preoccupiamo dei poveri, non dobbiamo impedire loro di fare ciò che considerano la loro migliore opzione per migliorare la propria vita</w:t>
      </w:r>
      <w:r>
        <w:rPr>
          <w:rFonts w:eastAsia="Times New Roman"/>
          <w:lang w:eastAsia="it-IT"/>
        </w:rPr>
        <w:t>»</w:t>
      </w:r>
      <w:r>
        <w:rPr>
          <w:rStyle w:val="Rimandonotaapidipagina"/>
          <w:rFonts w:eastAsia="Times New Roman"/>
          <w:lang w:eastAsia="it-IT"/>
        </w:rPr>
        <w:footnoteReference w:id="3"/>
      </w:r>
      <w:r w:rsidRPr="00D872E4">
        <w:rPr>
          <w:rFonts w:eastAsia="Times New Roman"/>
          <w:lang w:eastAsia="it-IT"/>
        </w:rPr>
        <w:t>.</w:t>
      </w:r>
    </w:p>
    <w:p w14:paraId="74213ECB" w14:textId="1663691F" w:rsidR="00436700" w:rsidRDefault="00436700" w:rsidP="00C15D2E">
      <w:pPr>
        <w:ind w:right="-58" w:firstLine="284"/>
        <w:rPr>
          <w:rFonts w:eastAsia="Times New Roman"/>
          <w:lang w:eastAsia="it-IT"/>
        </w:rPr>
      </w:pPr>
      <w:r>
        <w:rPr>
          <w:rFonts w:eastAsia="Times New Roman"/>
          <w:lang w:eastAsia="it-IT"/>
        </w:rPr>
        <w:t xml:space="preserve">Alcune persone trovano ripugnante in sé la vendita di un organo. </w:t>
      </w:r>
      <w:r w:rsidR="00306F91">
        <w:rPr>
          <w:rFonts w:eastAsia="Times New Roman"/>
          <w:lang w:eastAsia="it-IT"/>
        </w:rPr>
        <w:t>«</w:t>
      </w:r>
      <w:r w:rsidR="00306F91" w:rsidRPr="00306F91">
        <w:rPr>
          <w:rFonts w:eastAsia="Times New Roman"/>
          <w:lang w:eastAsia="it-IT"/>
        </w:rPr>
        <w:t xml:space="preserve">I libertari rispondono: </w:t>
      </w:r>
      <w:r w:rsidR="00306F91">
        <w:rPr>
          <w:rFonts w:eastAsia="Times New Roman"/>
          <w:lang w:eastAsia="it-IT"/>
        </w:rPr>
        <w:t>p</w:t>
      </w:r>
      <w:r w:rsidR="00306F91" w:rsidRPr="00306F91">
        <w:rPr>
          <w:rFonts w:eastAsia="Times New Roman"/>
          <w:lang w:eastAsia="it-IT"/>
        </w:rPr>
        <w:t>rovate a spiegare la vostra opposizione a un bambino che sta morendo di insufficienza renale: “I tuoi genitori sono disposti a pagare per un rene. Qualcuno è disposto a fornire un rene</w:t>
      </w:r>
      <w:r w:rsidR="00306F91">
        <w:rPr>
          <w:rFonts w:eastAsia="Times New Roman"/>
          <w:lang w:eastAsia="it-IT"/>
        </w:rPr>
        <w:t xml:space="preserve"> in cambio di</w:t>
      </w:r>
      <w:r w:rsidR="00306F91" w:rsidRPr="00306F91">
        <w:rPr>
          <w:rFonts w:eastAsia="Times New Roman"/>
          <w:lang w:eastAsia="it-IT"/>
        </w:rPr>
        <w:t xml:space="preserve"> quel denaro. Ma trovo l'intera faccenda ripugnante. Per questo farò intervenire </w:t>
      </w:r>
      <w:r w:rsidR="00306F91">
        <w:rPr>
          <w:rFonts w:eastAsia="Times New Roman"/>
          <w:lang w:eastAsia="it-IT"/>
        </w:rPr>
        <w:t>lo Stato</w:t>
      </w:r>
      <w:r w:rsidR="00306F91" w:rsidRPr="00306F91">
        <w:rPr>
          <w:rFonts w:eastAsia="Times New Roman"/>
          <w:lang w:eastAsia="it-IT"/>
        </w:rPr>
        <w:t xml:space="preserve"> per bloccare la vendita. È meglio che tu muoia piuttosto che io provi disgusto”</w:t>
      </w:r>
      <w:r w:rsidR="00306F91">
        <w:rPr>
          <w:rFonts w:eastAsia="Times New Roman"/>
          <w:lang w:eastAsia="it-IT"/>
        </w:rPr>
        <w:t>»</w:t>
      </w:r>
      <w:r w:rsidR="00306F91">
        <w:rPr>
          <w:rStyle w:val="Rimandonotaapidipagina"/>
          <w:rFonts w:eastAsia="Times New Roman"/>
          <w:lang w:eastAsia="it-IT"/>
        </w:rPr>
        <w:footnoteReference w:id="4"/>
      </w:r>
      <w:r w:rsidR="00306F91" w:rsidRPr="00306F91">
        <w:rPr>
          <w:rFonts w:eastAsia="Times New Roman"/>
          <w:lang w:eastAsia="it-IT"/>
        </w:rPr>
        <w:t>.</w:t>
      </w:r>
    </w:p>
    <w:p w14:paraId="5A0DEA32" w14:textId="3F13D46C" w:rsidR="00306F91" w:rsidRDefault="00306F91" w:rsidP="00C15D2E">
      <w:pPr>
        <w:ind w:right="-58" w:firstLine="284"/>
        <w:rPr>
          <w:rFonts w:eastAsia="Times New Roman"/>
          <w:lang w:eastAsia="it-IT"/>
        </w:rPr>
      </w:pPr>
      <w:r>
        <w:rPr>
          <w:rFonts w:eastAsia="Times New Roman"/>
          <w:lang w:eastAsia="it-IT"/>
        </w:rPr>
        <w:t xml:space="preserve">Altri obiettano che la “mercificazione” rappresentata dalla compravendita </w:t>
      </w:r>
      <w:r w:rsidR="00D155F8">
        <w:rPr>
          <w:rFonts w:eastAsia="Times New Roman"/>
          <w:lang w:eastAsia="it-IT"/>
        </w:rPr>
        <w:t xml:space="preserve">svilisce il </w:t>
      </w:r>
      <w:r w:rsidR="00FD0DB5">
        <w:rPr>
          <w:rFonts w:eastAsia="Times New Roman"/>
          <w:lang w:eastAsia="it-IT"/>
        </w:rPr>
        <w:t>corpo e le sue componenti</w:t>
      </w:r>
      <w:r w:rsidR="00D155F8">
        <w:rPr>
          <w:rFonts w:eastAsia="Times New Roman"/>
          <w:lang w:eastAsia="it-IT"/>
        </w:rPr>
        <w:t>. I libertari replicano che le persone continuamente scambiano l’attività del proprio corpo (lavoro) in cambio di denaro e non vi è alcuna disumanizzazione in ciò; lo stesso vale per gli organi del proprio corpo.</w:t>
      </w:r>
    </w:p>
    <w:p w14:paraId="12F4DCAD" w14:textId="3E0AB987" w:rsidR="00C15D2E" w:rsidRPr="00C15D2E" w:rsidRDefault="00C15D2E" w:rsidP="00C15D2E">
      <w:pPr>
        <w:ind w:right="-58" w:firstLine="284"/>
        <w:rPr>
          <w:rFonts w:eastAsia="Times New Roman"/>
          <w:lang w:eastAsia="it-IT"/>
        </w:rPr>
      </w:pPr>
      <w:r w:rsidRPr="00C15D2E">
        <w:rPr>
          <w:rFonts w:eastAsia="Times New Roman"/>
          <w:lang w:eastAsia="it-IT"/>
        </w:rPr>
        <w:t xml:space="preserve">W. Block ha ipotizzato che in un libero mercato degli organi sorgerebbero compagnie o ospedali che offrirebbero alle persone una somma di denaro per donare alcuni organi in caso di morte. Successivamente venderebbero l’organo al beneficiario. La disponibilità di organi crescerebbe enormemente perché le persone verrebbero remunerate, con somme probabilmente consistenti, quando ancora sono in vita. </w:t>
      </w:r>
      <w:bookmarkStart w:id="7" w:name="_Hlk147489470"/>
      <w:r w:rsidRPr="00C15D2E">
        <w:rPr>
          <w:rFonts w:eastAsia="Times New Roman"/>
          <w:lang w:eastAsia="it-IT"/>
        </w:rPr>
        <w:t xml:space="preserve">W. Block, </w:t>
      </w:r>
      <w:r w:rsidRPr="00C15D2E">
        <w:rPr>
          <w:rFonts w:eastAsia="Times New Roman"/>
          <w:i/>
          <w:lang w:eastAsia="it-IT"/>
        </w:rPr>
        <w:t>Defending the Undefendable II</w:t>
      </w:r>
      <w:r w:rsidRPr="00C15D2E">
        <w:rPr>
          <w:rFonts w:eastAsia="Times New Roman"/>
          <w:lang w:eastAsia="it-IT"/>
        </w:rPr>
        <w:t>, cit., pp. 98-102.</w:t>
      </w:r>
      <w:bookmarkEnd w:id="7"/>
      <w:r w:rsidRPr="00C15D2E">
        <w:rPr>
          <w:rFonts w:eastAsia="Times New Roman"/>
          <w:lang w:eastAsia="it-IT"/>
        </w:rPr>
        <w:t xml:space="preserve"> Per quanto riguarda l’espianto </w:t>
      </w:r>
      <w:r w:rsidRPr="00C15D2E">
        <w:rPr>
          <w:rFonts w:eastAsia="Times New Roman"/>
          <w:i/>
          <w:lang w:eastAsia="it-IT"/>
        </w:rPr>
        <w:t>post-mortem</w:t>
      </w:r>
      <w:r w:rsidRPr="00C15D2E">
        <w:rPr>
          <w:rFonts w:eastAsia="Times New Roman"/>
          <w:lang w:eastAsia="it-IT"/>
        </w:rPr>
        <w:t xml:space="preserve"> degli organi per i trapianti, i libertari sono contrari alla pratica diffusa del silenzio-assenso, che configura una proprietà originaria del corpo delle persone da parte dello Stato o della società.</w:t>
      </w:r>
    </w:p>
    <w:p w14:paraId="4C11FB08" w14:textId="77777777" w:rsidR="00C15D2E" w:rsidRDefault="00C15D2E" w:rsidP="006C23C6">
      <w:pPr>
        <w:ind w:right="-58" w:firstLine="284"/>
        <w:rPr>
          <w:rFonts w:eastAsia="Times New Roman"/>
          <w:lang w:eastAsia="it-IT"/>
        </w:rPr>
      </w:pPr>
    </w:p>
    <w:p w14:paraId="6851B756" w14:textId="3938FA43" w:rsidR="00841AE5" w:rsidRDefault="00841AE5" w:rsidP="0069417F">
      <w:pPr>
        <w:ind w:right="-58" w:firstLine="284"/>
        <w:rPr>
          <w:rFonts w:eastAsia="Times New Roman"/>
          <w:lang w:eastAsia="it-IT"/>
        </w:rPr>
      </w:pPr>
    </w:p>
    <w:p w14:paraId="21F35EE5" w14:textId="77777777" w:rsidR="00841AE5" w:rsidRDefault="00841AE5" w:rsidP="00293A42">
      <w:pPr>
        <w:ind w:right="-58"/>
        <w:rPr>
          <w:rFonts w:eastAsia="Times New Roman"/>
          <w:lang w:eastAsia="it-IT"/>
        </w:rPr>
      </w:pPr>
    </w:p>
    <w:p w14:paraId="108C4C50" w14:textId="77777777" w:rsidR="00735327" w:rsidRPr="00293A42" w:rsidRDefault="00735327">
      <w:pPr>
        <w:ind w:right="-58"/>
        <w:rPr>
          <w:rFonts w:eastAsia="Times New Roman"/>
          <w:lang w:eastAsia="it-IT"/>
        </w:rPr>
      </w:pPr>
    </w:p>
    <w:sectPr w:rsidR="00735327" w:rsidRPr="00293A42" w:rsidSect="00672EE0">
      <w:pgSz w:w="11906" w:h="16838"/>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0A9F7" w14:textId="77777777" w:rsidR="00E87BCA" w:rsidRDefault="00E87BCA" w:rsidP="006C23C6">
      <w:r>
        <w:separator/>
      </w:r>
    </w:p>
  </w:endnote>
  <w:endnote w:type="continuationSeparator" w:id="0">
    <w:p w14:paraId="5BF6E59D" w14:textId="77777777" w:rsidR="00E87BCA" w:rsidRDefault="00E87BCA" w:rsidP="006C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8D514" w14:textId="77777777" w:rsidR="00E87BCA" w:rsidRDefault="00E87BCA" w:rsidP="006C23C6">
      <w:r>
        <w:separator/>
      </w:r>
    </w:p>
  </w:footnote>
  <w:footnote w:type="continuationSeparator" w:id="0">
    <w:p w14:paraId="0CBC773E" w14:textId="77777777" w:rsidR="00E87BCA" w:rsidRDefault="00E87BCA" w:rsidP="006C23C6">
      <w:r>
        <w:continuationSeparator/>
      </w:r>
    </w:p>
  </w:footnote>
  <w:footnote w:id="1">
    <w:p w14:paraId="2920C6DC" w14:textId="52F9EEE7" w:rsidR="00C15D2E" w:rsidRDefault="00C15D2E">
      <w:pPr>
        <w:pStyle w:val="Testonotaapidipagina"/>
      </w:pPr>
      <w:r>
        <w:rPr>
          <w:rStyle w:val="Rimandonotaapidipagina"/>
        </w:rPr>
        <w:footnoteRef/>
      </w:r>
      <w:r>
        <w:t xml:space="preserve"> </w:t>
      </w:r>
      <w:r w:rsidRPr="00C15D2E">
        <w:rPr>
          <w:rFonts w:eastAsia="Times New Roman"/>
          <w:lang w:val="x-none" w:eastAsia="it-IT"/>
        </w:rPr>
        <w:t xml:space="preserve">A. Mingardi, </w:t>
      </w:r>
      <w:r w:rsidRPr="00C15D2E">
        <w:rPr>
          <w:rFonts w:eastAsia="Times New Roman"/>
          <w:i/>
          <w:lang w:val="x-none" w:eastAsia="it-IT"/>
        </w:rPr>
        <w:t>L’intelligenza del denaro</w:t>
      </w:r>
      <w:r w:rsidRPr="00C15D2E">
        <w:rPr>
          <w:rFonts w:eastAsia="Times New Roman"/>
          <w:lang w:val="x-none" w:eastAsia="it-IT"/>
        </w:rPr>
        <w:t xml:space="preserve">, </w:t>
      </w:r>
      <w:r w:rsidRPr="00C15D2E">
        <w:rPr>
          <w:rFonts w:eastAsia="Times New Roman"/>
          <w:lang w:eastAsia="it-IT"/>
        </w:rPr>
        <w:t>Marsilio, Venezia, 2013</w:t>
      </w:r>
      <w:r w:rsidRPr="00C15D2E">
        <w:rPr>
          <w:rFonts w:eastAsia="Times New Roman"/>
          <w:lang w:val="x-none" w:eastAsia="it-IT"/>
        </w:rPr>
        <w:t>, p. 59.</w:t>
      </w:r>
    </w:p>
  </w:footnote>
  <w:footnote w:id="2">
    <w:p w14:paraId="6213B37C" w14:textId="77777777" w:rsidR="00AA0C52" w:rsidRPr="00C15D2E" w:rsidRDefault="00AA0C52" w:rsidP="00AA0C52">
      <w:pPr>
        <w:pStyle w:val="Testonotaapidipagina"/>
        <w:rPr>
          <w:lang w:val="en-US"/>
        </w:rPr>
      </w:pPr>
      <w:r>
        <w:rPr>
          <w:rStyle w:val="Rimandonotaapidipagina"/>
        </w:rPr>
        <w:footnoteRef/>
      </w:r>
      <w:r w:rsidRPr="00C15D2E">
        <w:rPr>
          <w:lang w:val="en-US"/>
        </w:rPr>
        <w:t xml:space="preserve"> </w:t>
      </w:r>
      <w:r w:rsidRPr="00C15D2E">
        <w:rPr>
          <w:rFonts w:eastAsia="Times New Roman"/>
          <w:lang w:val="en-US" w:eastAsia="it-IT"/>
        </w:rPr>
        <w:t xml:space="preserve">J.A. Miron, </w:t>
      </w:r>
      <w:r w:rsidRPr="00C15D2E">
        <w:rPr>
          <w:rFonts w:eastAsia="Times New Roman"/>
          <w:i/>
          <w:lang w:val="en-US" w:eastAsia="it-IT"/>
        </w:rPr>
        <w:t>Libertarianism from A to Z</w:t>
      </w:r>
      <w:r w:rsidRPr="00C15D2E">
        <w:rPr>
          <w:rFonts w:eastAsia="Times New Roman"/>
          <w:lang w:val="en-US" w:eastAsia="it-IT"/>
        </w:rPr>
        <w:t>, Basics Books, New York, 2010, p. 125.</w:t>
      </w:r>
    </w:p>
  </w:footnote>
  <w:footnote w:id="3">
    <w:p w14:paraId="0AED45E0" w14:textId="07DE6494" w:rsidR="00D872E4" w:rsidRPr="00664C90" w:rsidRDefault="00D872E4">
      <w:pPr>
        <w:pStyle w:val="Testonotaapidipagina"/>
        <w:rPr>
          <w:lang w:val="en-US"/>
        </w:rPr>
      </w:pPr>
      <w:r>
        <w:rPr>
          <w:rStyle w:val="Rimandonotaapidipagina"/>
        </w:rPr>
        <w:footnoteRef/>
      </w:r>
      <w:r w:rsidRPr="00664C90">
        <w:rPr>
          <w:lang w:val="en-US"/>
        </w:rPr>
        <w:t xml:space="preserve"> J. Brennan, </w:t>
      </w:r>
      <w:bookmarkStart w:id="3" w:name="_Hlk173928905"/>
      <w:bookmarkStart w:id="4" w:name="_Hlk173960480"/>
      <w:bookmarkStart w:id="5" w:name="_Hlk174707011"/>
      <w:bookmarkStart w:id="6" w:name="_Hlk174037306"/>
      <w:r w:rsidR="00664C90" w:rsidRPr="00460307">
        <w:rPr>
          <w:i/>
          <w:iCs/>
          <w:lang w:val="en-US"/>
        </w:rPr>
        <w:t>Libertarianism: What Everyone Needs to Know</w:t>
      </w:r>
      <w:bookmarkEnd w:id="3"/>
      <w:r w:rsidR="00664C90" w:rsidRPr="00460307">
        <w:rPr>
          <w:lang w:val="en-US"/>
        </w:rPr>
        <w:t xml:space="preserve">, </w:t>
      </w:r>
      <w:bookmarkEnd w:id="4"/>
      <w:r w:rsidR="00664C90" w:rsidRPr="00460307">
        <w:rPr>
          <w:lang w:val="en-US"/>
        </w:rPr>
        <w:t>Oxford University Press, New York, 2012,</w:t>
      </w:r>
      <w:r w:rsidR="00664C90">
        <w:rPr>
          <w:lang w:val="en-US"/>
        </w:rPr>
        <w:t xml:space="preserve"> Kindle e-book, p. </w:t>
      </w:r>
      <w:r w:rsidR="00664C90">
        <w:rPr>
          <w:lang w:val="en-US"/>
        </w:rPr>
        <w:t>92</w:t>
      </w:r>
      <w:r w:rsidR="00664C90">
        <w:rPr>
          <w:lang w:val="en-US"/>
        </w:rPr>
        <w:t xml:space="preserve"> (traduzione mia).</w:t>
      </w:r>
      <w:bookmarkEnd w:id="5"/>
      <w:bookmarkEnd w:id="6"/>
    </w:p>
  </w:footnote>
  <w:footnote w:id="4">
    <w:p w14:paraId="7EC480A8" w14:textId="79C5310B" w:rsidR="00306F91" w:rsidRDefault="00306F91">
      <w:pPr>
        <w:pStyle w:val="Testonotaapidipagina"/>
      </w:pPr>
      <w:r>
        <w:rPr>
          <w:rStyle w:val="Rimandonotaapidipagina"/>
        </w:rPr>
        <w:footnoteRef/>
      </w:r>
      <w:r>
        <w:t xml:space="preserve"> </w:t>
      </w:r>
      <w:r w:rsidRPr="00306F91">
        <w:rPr>
          <w:i/>
          <w:iCs/>
        </w:rPr>
        <w:t>Ivi</w:t>
      </w:r>
      <w:r>
        <w:t>, p. 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3C6"/>
    <w:rsid w:val="000679CC"/>
    <w:rsid w:val="0008496E"/>
    <w:rsid w:val="001B6054"/>
    <w:rsid w:val="00293A42"/>
    <w:rsid w:val="00306F91"/>
    <w:rsid w:val="00377528"/>
    <w:rsid w:val="003F4D77"/>
    <w:rsid w:val="00436700"/>
    <w:rsid w:val="004C772F"/>
    <w:rsid w:val="00562B64"/>
    <w:rsid w:val="005A351A"/>
    <w:rsid w:val="00664C90"/>
    <w:rsid w:val="00672EE0"/>
    <w:rsid w:val="0069417F"/>
    <w:rsid w:val="006C23C6"/>
    <w:rsid w:val="006E1A4E"/>
    <w:rsid w:val="00735327"/>
    <w:rsid w:val="00794C61"/>
    <w:rsid w:val="007F351E"/>
    <w:rsid w:val="00841AE5"/>
    <w:rsid w:val="00880F3B"/>
    <w:rsid w:val="008B44F5"/>
    <w:rsid w:val="009B10CF"/>
    <w:rsid w:val="00AA0C52"/>
    <w:rsid w:val="00B931A8"/>
    <w:rsid w:val="00BD44E4"/>
    <w:rsid w:val="00C00B5B"/>
    <w:rsid w:val="00C15D2E"/>
    <w:rsid w:val="00C831B0"/>
    <w:rsid w:val="00CA2EE8"/>
    <w:rsid w:val="00CB2950"/>
    <w:rsid w:val="00D155F8"/>
    <w:rsid w:val="00D70E05"/>
    <w:rsid w:val="00D76658"/>
    <w:rsid w:val="00D872E4"/>
    <w:rsid w:val="00E87BCA"/>
    <w:rsid w:val="00FB2C37"/>
    <w:rsid w:val="00FB6952"/>
    <w:rsid w:val="00FD0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4238"/>
  <w15:docId w15:val="{1370467F-54A1-45E3-BE57-0971F0CB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23C6"/>
    <w:rPr>
      <w:rFonts w:eastAsia="Calibr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6C23C6"/>
    <w:rPr>
      <w:vertAlign w:val="superscript"/>
    </w:rPr>
  </w:style>
  <w:style w:type="character" w:styleId="Collegamentoipertestuale">
    <w:name w:val="Hyperlink"/>
    <w:basedOn w:val="Carpredefinitoparagrafo"/>
    <w:uiPriority w:val="99"/>
    <w:unhideWhenUsed/>
    <w:rsid w:val="00794C61"/>
    <w:rPr>
      <w:color w:val="0000FF" w:themeColor="hyperlink"/>
      <w:u w:val="single"/>
    </w:rPr>
  </w:style>
  <w:style w:type="paragraph" w:styleId="Testonotaapidipagina">
    <w:name w:val="footnote text"/>
    <w:basedOn w:val="Normale"/>
    <w:link w:val="TestonotaapidipaginaCarattere"/>
    <w:unhideWhenUsed/>
    <w:qFormat/>
    <w:rsid w:val="00BD44E4"/>
    <w:rPr>
      <w:sz w:val="20"/>
      <w:szCs w:val="20"/>
    </w:rPr>
  </w:style>
  <w:style w:type="character" w:customStyle="1" w:styleId="TestonotaapidipaginaCarattere">
    <w:name w:val="Testo nota a piè di pagina Carattere"/>
    <w:basedOn w:val="Carpredefinitoparagrafo"/>
    <w:link w:val="Testonotaapidipagina"/>
    <w:uiPriority w:val="99"/>
    <w:rsid w:val="00BD44E4"/>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406D-EF13-4A87-9866-A4B20D85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544</Words>
  <Characters>3106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dc:creator>
  <cp:lastModifiedBy>Piero Vernaglione</cp:lastModifiedBy>
  <cp:revision>11</cp:revision>
  <dcterms:created xsi:type="dcterms:W3CDTF">2015-09-18T18:25:00Z</dcterms:created>
  <dcterms:modified xsi:type="dcterms:W3CDTF">2024-08-20T19:33:00Z</dcterms:modified>
</cp:coreProperties>
</file>